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5" w:rsidRPr="000B61BD" w:rsidRDefault="00326D75" w:rsidP="0025403E">
      <w:pPr>
        <w:jc w:val="center"/>
        <w:rPr>
          <w:b/>
          <w:bCs/>
        </w:rPr>
      </w:pPr>
      <w:r w:rsidRPr="000B61BD">
        <w:rPr>
          <w:b/>
          <w:bCs/>
        </w:rPr>
        <w:t>Программа</w:t>
      </w:r>
      <w:r w:rsidR="0025403E" w:rsidRPr="000B61BD">
        <w:rPr>
          <w:b/>
          <w:bCs/>
        </w:rPr>
        <w:t xml:space="preserve"> </w:t>
      </w:r>
    </w:p>
    <w:p w:rsidR="00326D75" w:rsidRPr="000B61BD" w:rsidRDefault="00FE7B92" w:rsidP="0025403E">
      <w:pPr>
        <w:jc w:val="center"/>
        <w:rPr>
          <w:b/>
          <w:bCs/>
        </w:rPr>
      </w:pPr>
      <w:r w:rsidRPr="000B61BD">
        <w:rPr>
          <w:b/>
          <w:bCs/>
        </w:rPr>
        <w:t>конференци</w:t>
      </w:r>
      <w:r w:rsidR="00326D75" w:rsidRPr="000B61BD">
        <w:rPr>
          <w:b/>
          <w:bCs/>
        </w:rPr>
        <w:t>и</w:t>
      </w:r>
      <w:r w:rsidRPr="000B61BD">
        <w:rPr>
          <w:b/>
          <w:bCs/>
        </w:rPr>
        <w:t xml:space="preserve"> «</w:t>
      </w:r>
      <w:r w:rsidR="006307D9" w:rsidRPr="006307D9">
        <w:rPr>
          <w:b/>
          <w:bCs/>
        </w:rPr>
        <w:t>УЧЁТ. НАЛОГИ - 2018</w:t>
      </w:r>
      <w:r w:rsidRPr="000B61BD">
        <w:rPr>
          <w:b/>
          <w:bCs/>
        </w:rPr>
        <w:t>»</w:t>
      </w:r>
    </w:p>
    <w:p w:rsidR="0025403E" w:rsidRPr="000B61BD" w:rsidRDefault="0025403E" w:rsidP="0025403E">
      <w:pPr>
        <w:jc w:val="center"/>
        <w:rPr>
          <w:b/>
          <w:bCs/>
        </w:rPr>
      </w:pPr>
    </w:p>
    <w:tbl>
      <w:tblPr>
        <w:tblW w:w="518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639"/>
        <w:gridCol w:w="4497"/>
        <w:gridCol w:w="3786"/>
      </w:tblGrid>
      <w:tr w:rsidR="0025403E" w:rsidRPr="000B61BD" w:rsidTr="009276E0">
        <w:trPr>
          <w:trHeight w:val="606"/>
        </w:trPr>
        <w:tc>
          <w:tcPr>
            <w:tcW w:w="3092" w:type="pct"/>
            <w:gridSpan w:val="2"/>
          </w:tcPr>
          <w:p w:rsidR="00CB70F1" w:rsidRPr="00D573AD" w:rsidRDefault="0025403E" w:rsidP="004D6650">
            <w:r w:rsidRPr="000B61BD">
              <w:rPr>
                <w:b/>
              </w:rPr>
              <w:t>Место проведения:</w:t>
            </w:r>
            <w:r w:rsidRPr="000B61BD">
              <w:rPr>
                <w:i/>
              </w:rPr>
              <w:t xml:space="preserve"> </w:t>
            </w:r>
          </w:p>
          <w:p w:rsidR="0025403E" w:rsidRDefault="0025403E" w:rsidP="00785F3A">
            <w:r w:rsidRPr="000B61BD">
              <w:t xml:space="preserve">Великий Новгород, </w:t>
            </w:r>
            <w:r w:rsidR="005C1B6D">
              <w:t>наб. А. Невского, 19/1</w:t>
            </w:r>
          </w:p>
          <w:p w:rsidR="005C1B6D" w:rsidRDefault="005C1B6D" w:rsidP="00785F3A">
            <w:r>
              <w:t>АМАКС отель Россия</w:t>
            </w:r>
          </w:p>
          <w:p w:rsidR="00785F3A" w:rsidRPr="000B61BD" w:rsidRDefault="00785F3A" w:rsidP="00785F3A"/>
        </w:tc>
        <w:tc>
          <w:tcPr>
            <w:tcW w:w="1908" w:type="pct"/>
          </w:tcPr>
          <w:p w:rsidR="00CB70F1" w:rsidRPr="000B61BD" w:rsidRDefault="00CB70F1" w:rsidP="0040753F">
            <w:pPr>
              <w:ind w:left="1128"/>
              <w:rPr>
                <w:b/>
              </w:rPr>
            </w:pPr>
            <w:r w:rsidRPr="000B61BD">
              <w:rPr>
                <w:b/>
              </w:rPr>
              <w:t>Дата проведения:</w:t>
            </w:r>
          </w:p>
          <w:p w:rsidR="0025403E" w:rsidRPr="000B61BD" w:rsidRDefault="00B63D5F" w:rsidP="0040753F">
            <w:pPr>
              <w:ind w:left="1128"/>
            </w:pPr>
            <w:r w:rsidRPr="000B61BD">
              <w:t>0</w:t>
            </w:r>
            <w:r w:rsidR="006307D9">
              <w:t>2</w:t>
            </w:r>
            <w:r w:rsidRPr="000B61BD">
              <w:t xml:space="preserve"> ноября </w:t>
            </w:r>
            <w:r w:rsidR="00CB70F1" w:rsidRPr="000B61BD">
              <w:t>2018 года</w:t>
            </w:r>
          </w:p>
          <w:p w:rsidR="0025403E" w:rsidRPr="000B61BD" w:rsidRDefault="0025403E" w:rsidP="00CB70F1">
            <w:pPr>
              <w:ind w:left="448"/>
            </w:pPr>
          </w:p>
        </w:tc>
      </w:tr>
      <w:tr w:rsidR="0025403E" w:rsidRPr="000B61BD" w:rsidTr="009276E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E" w:rsidRPr="000B61BD" w:rsidRDefault="0025403E" w:rsidP="004D6650">
            <w:pPr>
              <w:jc w:val="center"/>
              <w:rPr>
                <w:b/>
              </w:rPr>
            </w:pPr>
            <w:r w:rsidRPr="000B61BD">
              <w:rPr>
                <w:b/>
              </w:rPr>
              <w:t>Время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E" w:rsidRPr="000B61BD" w:rsidRDefault="00A718F8" w:rsidP="004D6650">
            <w:pPr>
              <w:jc w:val="center"/>
              <w:rPr>
                <w:b/>
              </w:rPr>
            </w:pPr>
            <w:r w:rsidRPr="000B61BD">
              <w:rPr>
                <w:b/>
              </w:rPr>
              <w:t>Программа</w:t>
            </w:r>
          </w:p>
        </w:tc>
      </w:tr>
      <w:tr w:rsidR="0025403E" w:rsidRPr="000B61BD" w:rsidTr="009276E0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E" w:rsidRPr="000B61BD" w:rsidRDefault="00980E65" w:rsidP="006307D9">
            <w:pPr>
              <w:jc w:val="center"/>
            </w:pPr>
            <w:r>
              <w:t xml:space="preserve">09.00 – </w:t>
            </w:r>
            <w:r w:rsidR="006307D9">
              <w:t>09</w:t>
            </w:r>
            <w:r>
              <w:t>.</w:t>
            </w:r>
            <w:r w:rsidR="006307D9">
              <w:t>30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E" w:rsidRPr="000B61BD" w:rsidRDefault="00980E65" w:rsidP="00F62FAB">
            <w:r w:rsidRPr="00E70B4F">
              <w:rPr>
                <w:b/>
              </w:rPr>
              <w:t>Регистрация участников</w:t>
            </w:r>
            <w:r w:rsidR="0028050B">
              <w:t xml:space="preserve"> </w:t>
            </w:r>
            <w:r w:rsidR="00F62FAB">
              <w:t xml:space="preserve"> </w:t>
            </w:r>
            <w:r w:rsidR="00F62FAB">
              <w:rPr>
                <w:i/>
              </w:rPr>
              <w:t>(х</w:t>
            </w:r>
            <w:r w:rsidR="00E70B4F" w:rsidRPr="0028050B">
              <w:rPr>
                <w:i/>
              </w:rPr>
              <w:t>олл</w:t>
            </w:r>
            <w:r w:rsidR="0028050B" w:rsidRPr="0028050B">
              <w:rPr>
                <w:i/>
              </w:rPr>
              <w:t>)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6307D9" w:rsidP="002661A3">
            <w:pPr>
              <w:jc w:val="center"/>
            </w:pPr>
            <w:r>
              <w:t>09.30</w:t>
            </w:r>
            <w:r w:rsidR="002661A3">
              <w:t xml:space="preserve"> – </w:t>
            </w:r>
            <w:r>
              <w:t>09.35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D7" w:rsidRDefault="009104D7" w:rsidP="009104D7">
            <w:pPr>
              <w:jc w:val="both"/>
            </w:pPr>
            <w:r w:rsidRPr="0018555A">
              <w:rPr>
                <w:b/>
              </w:rPr>
              <w:t>Пленарное заседание</w:t>
            </w:r>
            <w:r>
              <w:rPr>
                <w:b/>
              </w:rPr>
              <w:t xml:space="preserve"> </w:t>
            </w:r>
            <w:r w:rsidRPr="00FE491B">
              <w:rPr>
                <w:i/>
              </w:rPr>
              <w:t>(</w:t>
            </w:r>
            <w:r>
              <w:rPr>
                <w:i/>
              </w:rPr>
              <w:t>Малый зал)</w:t>
            </w:r>
          </w:p>
          <w:p w:rsidR="009104D7" w:rsidRDefault="009104D7" w:rsidP="009104D7">
            <w:pPr>
              <w:jc w:val="both"/>
              <w:rPr>
                <w:i/>
              </w:rPr>
            </w:pPr>
          </w:p>
          <w:p w:rsidR="009104D7" w:rsidRPr="0018555A" w:rsidRDefault="009104D7" w:rsidP="009104D7">
            <w:pPr>
              <w:jc w:val="both"/>
            </w:pPr>
            <w:r w:rsidRPr="009104D7">
              <w:rPr>
                <w:i/>
              </w:rPr>
              <w:t>Модератор</w:t>
            </w:r>
            <w:r w:rsidRPr="0018555A">
              <w:t>:</w:t>
            </w:r>
          </w:p>
          <w:p w:rsidR="009104D7" w:rsidRDefault="005C1B6D" w:rsidP="009104D7">
            <w:pPr>
              <w:jc w:val="both"/>
            </w:pPr>
            <w:r>
              <w:rPr>
                <w:b/>
              </w:rPr>
              <w:t>Конева Людмила Юрьевна</w:t>
            </w:r>
            <w:r w:rsidR="009104D7" w:rsidRPr="0018555A">
              <w:t xml:space="preserve">, </w:t>
            </w:r>
            <w:r>
              <w:t xml:space="preserve">директор НП </w:t>
            </w:r>
            <w:proofErr w:type="spellStart"/>
            <w:r>
              <w:t>НовТиПБ</w:t>
            </w:r>
            <w:proofErr w:type="spellEnd"/>
          </w:p>
          <w:p w:rsidR="009104D7" w:rsidRDefault="009104D7" w:rsidP="009104D7">
            <w:pPr>
              <w:jc w:val="both"/>
            </w:pPr>
          </w:p>
          <w:p w:rsidR="00FE491B" w:rsidRDefault="00980E65" w:rsidP="009104D7">
            <w:pPr>
              <w:jc w:val="both"/>
            </w:pPr>
            <w:r w:rsidRPr="00980E65">
              <w:t>Открытие конференции</w:t>
            </w:r>
            <w:r w:rsidR="00F454BD">
              <w:t>,</w:t>
            </w:r>
            <w:r w:rsidRPr="00980E65">
              <w:t xml:space="preserve"> приветственное слово </w:t>
            </w:r>
          </w:p>
          <w:p w:rsidR="00F454BD" w:rsidRDefault="006307D9" w:rsidP="00872AB8">
            <w:pPr>
              <w:jc w:val="both"/>
            </w:pPr>
            <w:r>
              <w:rPr>
                <w:b/>
              </w:rPr>
              <w:t>Солдатова Елена Васильевна</w:t>
            </w:r>
            <w:r w:rsidR="00980E65" w:rsidRPr="00980E65">
              <w:t>,</w:t>
            </w:r>
            <w:r w:rsidR="00980E65">
              <w:rPr>
                <w:b/>
              </w:rPr>
              <w:t xml:space="preserve"> </w:t>
            </w:r>
            <w:r w:rsidRPr="006307D9">
              <w:t>министр финансов</w:t>
            </w:r>
            <w:r w:rsidR="00980E65" w:rsidRPr="000B61BD">
              <w:t xml:space="preserve"> Новгородской области</w:t>
            </w:r>
          </w:p>
          <w:p w:rsidR="00980E65" w:rsidRPr="000B61BD" w:rsidRDefault="00980E65" w:rsidP="00D9296B">
            <w:pPr>
              <w:jc w:val="both"/>
            </w:pPr>
            <w:r w:rsidRPr="000B61BD">
              <w:t xml:space="preserve"> </w:t>
            </w:r>
          </w:p>
        </w:tc>
      </w:tr>
      <w:tr w:rsidR="00980E65" w:rsidRPr="000B61BD" w:rsidTr="009C76EA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AF0202" w:rsidP="00AF0202">
            <w:pPr>
              <w:jc w:val="center"/>
            </w:pPr>
            <w:r>
              <w:t>09.35</w:t>
            </w:r>
            <w:r w:rsidR="006A4BA4">
              <w:t xml:space="preserve"> – </w:t>
            </w:r>
            <w:r>
              <w:t>09</w:t>
            </w:r>
            <w:r w:rsidR="00EE69B6">
              <w:t>.</w:t>
            </w:r>
            <w:r>
              <w:t>45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2" w:rsidRDefault="00AF0202" w:rsidP="00A410B3">
            <w:pPr>
              <w:rPr>
                <w:b/>
              </w:rPr>
            </w:pPr>
            <w:r>
              <w:rPr>
                <w:b/>
              </w:rPr>
              <w:t>Изменения в пенсионном законодательстве с 01.01.2018 г.</w:t>
            </w:r>
          </w:p>
          <w:p w:rsidR="00F62FAB" w:rsidRPr="00251B00" w:rsidRDefault="00A82D3A" w:rsidP="00DB5422">
            <w:pPr>
              <w:ind w:left="2081"/>
              <w:jc w:val="both"/>
              <w:rPr>
                <w:i/>
              </w:rPr>
            </w:pPr>
            <w:r w:rsidRPr="00A82D3A">
              <w:rPr>
                <w:b/>
              </w:rPr>
              <w:t>Бойцов Аркадий Николаевич</w:t>
            </w:r>
            <w:r>
              <w:t>, начальник отдела назначения и перерасчёта пенсии ГУ УПФР в г. Великом Новгороде и Новгородском районе (межрайонного)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AF0202" w:rsidP="00794AEB">
            <w:pPr>
              <w:jc w:val="center"/>
            </w:pPr>
            <w:r>
              <w:t>09.45</w:t>
            </w:r>
            <w:r w:rsidR="006A4BA4">
              <w:t xml:space="preserve"> – </w:t>
            </w:r>
            <w:r>
              <w:t>09.55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AF0202" w:rsidP="00462C36">
            <w:pPr>
              <w:jc w:val="both"/>
              <w:rPr>
                <w:b/>
                <w:bCs/>
              </w:rPr>
            </w:pPr>
            <w:r>
              <w:rPr>
                <w:rStyle w:val="extended-textfull"/>
                <w:b/>
              </w:rPr>
              <w:t>Актуальные вопросы налогообложения: разъяснения налоговых органов</w:t>
            </w:r>
          </w:p>
          <w:p w:rsidR="00F62FAB" w:rsidRPr="000B61BD" w:rsidRDefault="005855E2" w:rsidP="00DB5422">
            <w:pPr>
              <w:ind w:left="2081"/>
              <w:jc w:val="both"/>
            </w:pPr>
            <w:proofErr w:type="spellStart"/>
            <w:r w:rsidRPr="005855E2">
              <w:rPr>
                <w:b/>
              </w:rPr>
              <w:t>Семерня</w:t>
            </w:r>
            <w:proofErr w:type="spellEnd"/>
            <w:r w:rsidRPr="005855E2">
              <w:rPr>
                <w:b/>
              </w:rPr>
              <w:t xml:space="preserve"> Максим Викторович</w:t>
            </w:r>
            <w:r w:rsidR="00AF0202">
              <w:t>,</w:t>
            </w:r>
            <w:r>
              <w:t xml:space="preserve"> начальник правового отдела УФНС по Новгородской области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454F18" w:rsidP="00794AEB">
            <w:pPr>
              <w:jc w:val="center"/>
            </w:pPr>
            <w:r>
              <w:t>09</w:t>
            </w:r>
            <w:r w:rsidR="00980E65" w:rsidRPr="000B61BD">
              <w:t>.</w:t>
            </w:r>
            <w:r>
              <w:t>5</w:t>
            </w:r>
            <w:r w:rsidR="005D183E">
              <w:t>5</w:t>
            </w:r>
            <w:r w:rsidR="00033A64">
              <w:t xml:space="preserve"> – </w:t>
            </w:r>
            <w:r w:rsidR="00980E65" w:rsidRPr="000B61BD">
              <w:t>1</w:t>
            </w:r>
            <w:r w:rsidR="00794AEB">
              <w:t>0</w:t>
            </w:r>
            <w:r w:rsidR="00980E65" w:rsidRPr="000B61BD">
              <w:t>.</w:t>
            </w:r>
            <w:r>
              <w:t>05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8B2EE6" w:rsidRDefault="00454F18" w:rsidP="00462C36">
            <w:pPr>
              <w:jc w:val="both"/>
            </w:pPr>
            <w:r>
              <w:rPr>
                <w:b/>
              </w:rPr>
              <w:t xml:space="preserve">Программа ДМС «Сбереги здоровье» </w:t>
            </w:r>
          </w:p>
          <w:p w:rsidR="00F62FAB" w:rsidRPr="000B61BD" w:rsidRDefault="00454F18" w:rsidP="00344E8D">
            <w:pPr>
              <w:ind w:left="2081"/>
              <w:rPr>
                <w:rStyle w:val="extended-textfull"/>
                <w:b/>
              </w:rPr>
            </w:pPr>
            <w:r>
              <w:t>П</w:t>
            </w:r>
            <w:r w:rsidR="008B2EE6">
              <w:t>АО</w:t>
            </w:r>
            <w:r w:rsidR="00980E65" w:rsidRPr="000B61BD">
              <w:t xml:space="preserve"> </w:t>
            </w:r>
            <w:r w:rsidR="008B2EE6">
              <w:t>«</w:t>
            </w:r>
            <w:r>
              <w:t>Сбербанк России»</w:t>
            </w:r>
            <w:r w:rsidR="00980E65" w:rsidRPr="000B61BD">
              <w:t xml:space="preserve"> </w:t>
            </w:r>
            <w:r w:rsidR="008B2EE6" w:rsidRPr="00DA1EC6">
              <w:rPr>
                <w:bCs/>
              </w:rPr>
              <w:t>(представитель уточняется)</w:t>
            </w:r>
          </w:p>
        </w:tc>
      </w:tr>
      <w:tr w:rsidR="006B2813" w:rsidRPr="000B61BD" w:rsidTr="009276E0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0B61BD" w:rsidRDefault="006B2813" w:rsidP="006B2813">
            <w:pPr>
              <w:jc w:val="center"/>
            </w:pPr>
            <w:r>
              <w:t>10.</w:t>
            </w:r>
            <w:r>
              <w:t>0</w:t>
            </w:r>
            <w:r>
              <w:t xml:space="preserve">5 – </w:t>
            </w:r>
            <w:r w:rsidRPr="000B61BD">
              <w:t>1</w:t>
            </w:r>
            <w:r>
              <w:t>0</w:t>
            </w:r>
            <w:r w:rsidRPr="000B61BD">
              <w:t>.</w:t>
            </w:r>
            <w:r>
              <w:t>3</w:t>
            </w:r>
            <w:r>
              <w:t>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Default="006B2813" w:rsidP="006B28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Ц</w:t>
            </w:r>
            <w:r w:rsidRPr="000C6D81">
              <w:rPr>
                <w:b/>
              </w:rPr>
              <w:t>еремони</w:t>
            </w:r>
            <w:r>
              <w:rPr>
                <w:b/>
              </w:rPr>
              <w:t>я</w:t>
            </w:r>
            <w:r w:rsidRPr="000C6D81">
              <w:rPr>
                <w:b/>
              </w:rPr>
              <w:t xml:space="preserve"> награждения победителей и призеров </w:t>
            </w:r>
            <w:r>
              <w:rPr>
                <w:b/>
              </w:rPr>
              <w:t>к</w:t>
            </w:r>
            <w:r w:rsidRPr="000C6D81">
              <w:rPr>
                <w:b/>
              </w:rPr>
              <w:t>онкурса</w:t>
            </w:r>
          </w:p>
          <w:p w:rsidR="006B2813" w:rsidRPr="000B61BD" w:rsidRDefault="006B2813" w:rsidP="006B2813">
            <w:pPr>
              <w:jc w:val="center"/>
              <w:outlineLvl w:val="0"/>
              <w:rPr>
                <w:bCs/>
                <w:kern w:val="36"/>
              </w:rPr>
            </w:pPr>
            <w:r w:rsidRPr="000C6D81">
              <w:rPr>
                <w:b/>
              </w:rPr>
              <w:t xml:space="preserve">«Лучший </w:t>
            </w:r>
            <w:r>
              <w:rPr>
                <w:b/>
              </w:rPr>
              <w:t>бухгалтер</w:t>
            </w:r>
            <w:r w:rsidRPr="000C6D81">
              <w:rPr>
                <w:b/>
              </w:rPr>
              <w:t xml:space="preserve"> Новгородской области 201</w:t>
            </w:r>
            <w:r>
              <w:rPr>
                <w:b/>
              </w:rPr>
              <w:t>8</w:t>
            </w:r>
            <w:r w:rsidRPr="000C6D81">
              <w:rPr>
                <w:b/>
              </w:rPr>
              <w:t xml:space="preserve"> года»</w:t>
            </w:r>
          </w:p>
        </w:tc>
      </w:tr>
      <w:tr w:rsidR="006B2813" w:rsidRPr="000B61BD" w:rsidTr="009276E0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0B61BD" w:rsidRDefault="006B2813" w:rsidP="00A410B3">
            <w:pPr>
              <w:jc w:val="center"/>
            </w:pPr>
            <w:r w:rsidRPr="000B61BD">
              <w:t>1</w:t>
            </w:r>
            <w:r>
              <w:t>0</w:t>
            </w:r>
            <w:r w:rsidRPr="000B61BD">
              <w:t>.</w:t>
            </w:r>
            <w:r>
              <w:t>35 – 10</w:t>
            </w:r>
            <w:r w:rsidRPr="000B61BD">
              <w:t>.</w:t>
            </w:r>
            <w:r>
              <w:t>50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0B61BD" w:rsidRDefault="006B2813" w:rsidP="00A410B3">
            <w:pPr>
              <w:ind w:left="2648"/>
              <w:jc w:val="both"/>
              <w:rPr>
                <w:rStyle w:val="extended-textfull"/>
                <w:b/>
              </w:rPr>
            </w:pPr>
            <w:r>
              <w:rPr>
                <w:b/>
                <w:bCs/>
                <w:kern w:val="36"/>
              </w:rPr>
              <w:t>перерыв</w:t>
            </w:r>
            <w:r>
              <w:t xml:space="preserve"> </w:t>
            </w:r>
          </w:p>
        </w:tc>
      </w:tr>
      <w:tr w:rsidR="006B2813" w:rsidRPr="000B61BD" w:rsidTr="009276E0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0B61BD" w:rsidRDefault="006B2813" w:rsidP="009623EE">
            <w:pPr>
              <w:jc w:val="center"/>
            </w:pPr>
            <w:r w:rsidRPr="000B61BD">
              <w:t>1</w:t>
            </w:r>
            <w:r>
              <w:t>0</w:t>
            </w:r>
            <w:r w:rsidRPr="000B61BD">
              <w:t>.</w:t>
            </w:r>
            <w:r>
              <w:t>50</w:t>
            </w:r>
            <w:r>
              <w:t xml:space="preserve"> – </w:t>
            </w:r>
            <w:r w:rsidRPr="000B61BD">
              <w:t>1</w:t>
            </w:r>
            <w:r>
              <w:t>1</w:t>
            </w:r>
            <w:r w:rsidRPr="000B61BD">
              <w:t>.</w:t>
            </w:r>
            <w:r>
              <w:t>30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454F18" w:rsidRDefault="006B2813" w:rsidP="006B2813">
            <w:pPr>
              <w:jc w:val="both"/>
              <w:rPr>
                <w:rStyle w:val="extended-textfull"/>
                <w:b/>
              </w:rPr>
            </w:pPr>
            <w:r w:rsidRPr="00454F18">
              <w:rPr>
                <w:rStyle w:val="extended-textfull"/>
                <w:b/>
              </w:rPr>
              <w:t xml:space="preserve">Изменение ставки НДС: разбор частых ситуаций. </w:t>
            </w:r>
          </w:p>
          <w:p w:rsidR="006B2813" w:rsidRPr="000B61BD" w:rsidRDefault="006B2813" w:rsidP="00DB5422">
            <w:pPr>
              <w:ind w:left="2081"/>
              <w:jc w:val="both"/>
              <w:outlineLvl w:val="0"/>
              <w:rPr>
                <w:bCs/>
                <w:kern w:val="36"/>
              </w:rPr>
            </w:pPr>
            <w:proofErr w:type="spellStart"/>
            <w:r w:rsidRPr="006B2813">
              <w:rPr>
                <w:b/>
              </w:rPr>
              <w:t>Грешкина</w:t>
            </w:r>
            <w:proofErr w:type="spellEnd"/>
            <w:r w:rsidRPr="006B2813">
              <w:rPr>
                <w:b/>
              </w:rPr>
              <w:t xml:space="preserve"> Алла Александровна</w:t>
            </w:r>
            <w:r w:rsidRPr="00454F18">
              <w:t>,</w:t>
            </w:r>
            <w:r w:rsidRPr="000B61BD">
              <w:t xml:space="preserve"> </w:t>
            </w:r>
            <w:r>
              <w:t>эксперт-консультант компании СКБ-Контур</w:t>
            </w:r>
          </w:p>
        </w:tc>
      </w:tr>
      <w:tr w:rsidR="006B2813" w:rsidRPr="000B61BD" w:rsidTr="009276E0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0B61BD" w:rsidRDefault="006B2813" w:rsidP="00794AEB">
            <w:pPr>
              <w:jc w:val="center"/>
            </w:pPr>
            <w:r w:rsidRPr="000B61BD">
              <w:t>1</w:t>
            </w:r>
            <w:r>
              <w:t>1</w:t>
            </w:r>
            <w:r w:rsidRPr="000B61BD">
              <w:t>.</w:t>
            </w:r>
            <w:r>
              <w:t xml:space="preserve">30 – </w:t>
            </w:r>
            <w:r w:rsidRPr="000B61BD">
              <w:t>1</w:t>
            </w:r>
            <w:r>
              <w:t>3</w:t>
            </w:r>
            <w:r w:rsidRPr="000B61BD">
              <w:t>.</w:t>
            </w:r>
            <w:r>
              <w:t>00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13" w:rsidRDefault="006B2813" w:rsidP="00F657F3">
            <w:pPr>
              <w:jc w:val="both"/>
              <w:rPr>
                <w:i/>
              </w:rPr>
            </w:pPr>
            <w:r w:rsidRPr="00F657F3">
              <w:rPr>
                <w:i/>
              </w:rPr>
              <w:t>Спикер</w:t>
            </w:r>
            <w:r>
              <w:rPr>
                <w:i/>
              </w:rPr>
              <w:t>:</w:t>
            </w:r>
          </w:p>
          <w:p w:rsidR="006B2813" w:rsidRPr="00F657F3" w:rsidRDefault="006B2813" w:rsidP="00F657F3">
            <w:pPr>
              <w:jc w:val="both"/>
              <w:rPr>
                <w:i/>
              </w:rPr>
            </w:pPr>
            <w:r w:rsidRPr="00F657F3">
              <w:rPr>
                <w:b/>
              </w:rPr>
              <w:t xml:space="preserve">Митюкова Эльвира </w:t>
            </w:r>
            <w:proofErr w:type="spellStart"/>
            <w:r w:rsidRPr="00F657F3">
              <w:rPr>
                <w:b/>
              </w:rPr>
              <w:t>Сайфулловна</w:t>
            </w:r>
            <w:proofErr w:type="spellEnd"/>
            <w:r>
              <w:t xml:space="preserve">, </w:t>
            </w:r>
            <w:r w:rsidRPr="00F657F3">
              <w:t xml:space="preserve">к.э.н., член Комиссии по профессиональным квалификациям в области бухгалтерского учета (при </w:t>
            </w:r>
            <w:proofErr w:type="spellStart"/>
            <w:r w:rsidRPr="00F657F3">
              <w:t>Нацсовете</w:t>
            </w:r>
            <w:proofErr w:type="spellEnd"/>
            <w:r w:rsidRPr="00F657F3">
              <w:t xml:space="preserve"> при Президенте РФ по проф. квалификациям), победитель конкурса «Бухгалтерский </w:t>
            </w:r>
            <w:proofErr w:type="spellStart"/>
            <w:r w:rsidRPr="00F657F3">
              <w:t>оскар</w:t>
            </w:r>
            <w:proofErr w:type="spellEnd"/>
            <w:r w:rsidRPr="00F657F3">
              <w:t>», управляющий партнер аудиторской компании ООО «Академия успешного бизнеса», аудитор, лектор ИПБ России, по данным журнала «Семинар для бухгалтера» вошла в десятку лучших лекторов России</w:t>
            </w:r>
            <w:bookmarkStart w:id="0" w:name="_GoBack"/>
            <w:bookmarkEnd w:id="0"/>
            <w:r w:rsidRPr="00F657F3">
              <w:t xml:space="preserve"> </w:t>
            </w:r>
            <w:r>
              <w:t>(г. Москва)</w:t>
            </w:r>
          </w:p>
          <w:p w:rsidR="006B2813" w:rsidRDefault="006B2813" w:rsidP="00250B84">
            <w:pPr>
              <w:outlineLvl w:val="2"/>
            </w:pPr>
          </w:p>
          <w:p w:rsidR="006B2813" w:rsidRPr="00250B84" w:rsidRDefault="006B2813" w:rsidP="00250B84">
            <w:pPr>
              <w:outlineLvl w:val="2"/>
              <w:rPr>
                <w:b/>
              </w:rPr>
            </w:pPr>
            <w:r w:rsidRPr="00250B84">
              <w:rPr>
                <w:b/>
              </w:rPr>
              <w:t>Онлайн-кассы в 2018-2019 гг.: все о ККТ для наличных и безналичных расчетов, спорные вопросы. Применение ККТ в 2018-2019 гг.: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791E77">
              <w:t xml:space="preserve">- </w:t>
            </w:r>
            <w:r w:rsidRPr="00250B84">
              <w:rPr>
                <w:i/>
                <w:sz w:val="20"/>
                <w:szCs w:val="20"/>
              </w:rPr>
              <w:t>Изменение порядка применения ККТ 2018-2019 гг. Все о направлении в налоговые органы фискальной информации при пробитии каждого чека; клиенту электронной копии кассового чека по электронной почте;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250B84">
              <w:rPr>
                <w:i/>
                <w:sz w:val="20"/>
                <w:szCs w:val="20"/>
              </w:rPr>
              <w:t>- Новые реквизиты чеков ККТ и бланков строгой отчётности;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250B84">
              <w:rPr>
                <w:i/>
                <w:sz w:val="20"/>
                <w:szCs w:val="20"/>
              </w:rPr>
              <w:t xml:space="preserve">- Как по-новому проводят контрольные закупки и какие права у </w:t>
            </w:r>
            <w:proofErr w:type="gramStart"/>
            <w:r w:rsidRPr="00250B84">
              <w:rPr>
                <w:i/>
                <w:sz w:val="20"/>
                <w:szCs w:val="20"/>
              </w:rPr>
              <w:t>проверяющих</w:t>
            </w:r>
            <w:proofErr w:type="gramEnd"/>
            <w:r w:rsidRPr="00250B84">
              <w:rPr>
                <w:i/>
                <w:sz w:val="20"/>
                <w:szCs w:val="20"/>
              </w:rPr>
              <w:t>. Штрафы и новые сроки давности по кассовым нарушениям;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250B84">
              <w:rPr>
                <w:i/>
                <w:sz w:val="20"/>
                <w:szCs w:val="20"/>
              </w:rPr>
              <w:t>- Нужно ли пробивать чеки ККТ, оказывая услуги;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250B84">
              <w:rPr>
                <w:i/>
                <w:sz w:val="20"/>
                <w:szCs w:val="20"/>
              </w:rPr>
              <w:t>- Нужно ли пробивать кассовый чек, получая деньги от покупателя по безналу, или оплачивая аренду или услуги физическому лицу;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250B84">
              <w:rPr>
                <w:i/>
                <w:sz w:val="20"/>
                <w:szCs w:val="20"/>
              </w:rPr>
              <w:t>- Как отразятся поправки на деятельности «</w:t>
            </w:r>
            <w:proofErr w:type="spellStart"/>
            <w:r w:rsidRPr="00250B84">
              <w:rPr>
                <w:i/>
                <w:sz w:val="20"/>
                <w:szCs w:val="20"/>
              </w:rPr>
              <w:t>вмененщиков</w:t>
            </w:r>
            <w:proofErr w:type="spellEnd"/>
            <w:r w:rsidRPr="00250B84">
              <w:rPr>
                <w:i/>
                <w:sz w:val="20"/>
                <w:szCs w:val="20"/>
              </w:rPr>
              <w:t>» и ИП на патенте;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250B84">
              <w:rPr>
                <w:i/>
                <w:sz w:val="20"/>
                <w:szCs w:val="20"/>
              </w:rPr>
              <w:lastRenderedPageBreak/>
              <w:t>- Как пробить чеки и выдать БСО на аванс, частичную оплату, рассрочку. Что писать в чеке, если наименование товара или услуги неизвестно. Нужно ли пробивать чеки и выдавать БСО при безналичной оплате;</w:t>
            </w:r>
          </w:p>
          <w:p w:rsidR="006B2813" w:rsidRPr="00250B84" w:rsidRDefault="006B2813" w:rsidP="00250B84">
            <w:pPr>
              <w:rPr>
                <w:i/>
                <w:sz w:val="20"/>
                <w:szCs w:val="20"/>
              </w:rPr>
            </w:pPr>
            <w:r w:rsidRPr="00250B84">
              <w:rPr>
                <w:i/>
                <w:sz w:val="20"/>
                <w:szCs w:val="20"/>
              </w:rPr>
              <w:t>- Оформление возвратов покупателям денег в случае отказа от товара при различных обстоятельствах;</w:t>
            </w:r>
          </w:p>
          <w:p w:rsidR="006B2813" w:rsidRPr="008A2727" w:rsidRDefault="006B2813" w:rsidP="00526793">
            <w:pPr>
              <w:rPr>
                <w:bCs/>
                <w:kern w:val="36"/>
              </w:rPr>
            </w:pPr>
            <w:r w:rsidRPr="00250B84">
              <w:rPr>
                <w:i/>
                <w:sz w:val="20"/>
                <w:szCs w:val="20"/>
              </w:rPr>
              <w:t>- Расчеты с применением платежных банковских карт по-новому.</w:t>
            </w:r>
          </w:p>
        </w:tc>
      </w:tr>
      <w:tr w:rsidR="006B2813" w:rsidRPr="000B61BD" w:rsidTr="009276E0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0B61BD" w:rsidRDefault="006B2813" w:rsidP="00794AEB">
            <w:pPr>
              <w:jc w:val="center"/>
            </w:pPr>
            <w:r>
              <w:lastRenderedPageBreak/>
              <w:t>13.00 – 14.00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13" w:rsidRDefault="006B2813" w:rsidP="00C62C03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B2813" w:rsidRPr="000B61BD" w:rsidTr="009276E0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3" w:rsidRPr="000B61BD" w:rsidRDefault="006B2813" w:rsidP="00794AEB">
            <w:pPr>
              <w:jc w:val="center"/>
            </w:pPr>
            <w:r w:rsidRPr="000B61BD">
              <w:t>1</w:t>
            </w:r>
            <w:r>
              <w:t>4</w:t>
            </w:r>
            <w:r w:rsidRPr="000B61BD">
              <w:t>.</w:t>
            </w:r>
            <w:r>
              <w:t>00 – 17.00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13" w:rsidRDefault="006B2813" w:rsidP="00526793">
            <w:pPr>
              <w:jc w:val="both"/>
              <w:rPr>
                <w:i/>
              </w:rPr>
            </w:pPr>
            <w:r w:rsidRPr="00F657F3">
              <w:rPr>
                <w:i/>
              </w:rPr>
              <w:t>Спикер</w:t>
            </w:r>
            <w:r>
              <w:rPr>
                <w:i/>
              </w:rPr>
              <w:t>:</w:t>
            </w:r>
          </w:p>
          <w:p w:rsidR="006B2813" w:rsidRDefault="006B2813" w:rsidP="00F62FAB">
            <w:pPr>
              <w:outlineLvl w:val="2"/>
            </w:pPr>
            <w:r w:rsidRPr="00F657F3">
              <w:rPr>
                <w:b/>
              </w:rPr>
              <w:t xml:space="preserve">Митюкова Эльвира </w:t>
            </w:r>
            <w:proofErr w:type="spellStart"/>
            <w:r w:rsidRPr="00F657F3">
              <w:rPr>
                <w:b/>
              </w:rPr>
              <w:t>Сайфулловна</w:t>
            </w:r>
            <w:proofErr w:type="spellEnd"/>
            <w:r>
              <w:rPr>
                <w:b/>
              </w:rPr>
              <w:t xml:space="preserve">,  </w:t>
            </w:r>
            <w:r>
              <w:t xml:space="preserve"> (г. Москва)</w:t>
            </w:r>
          </w:p>
          <w:p w:rsidR="006B2813" w:rsidRDefault="006B2813" w:rsidP="00F62FAB">
            <w:pPr>
              <w:outlineLvl w:val="2"/>
            </w:pPr>
          </w:p>
          <w:p w:rsidR="006B2813" w:rsidRPr="00B252D6" w:rsidRDefault="006B2813" w:rsidP="00B252D6">
            <w:pPr>
              <w:textAlignment w:val="baseline"/>
              <w:rPr>
                <w:b/>
              </w:rPr>
            </w:pPr>
            <w:r w:rsidRPr="00B252D6">
              <w:rPr>
                <w:b/>
              </w:rPr>
              <w:t>Все измене</w:t>
            </w:r>
            <w:r>
              <w:rPr>
                <w:b/>
              </w:rPr>
              <w:t>ния в расчете Налога на прибыль</w:t>
            </w:r>
          </w:p>
          <w:p w:rsidR="006B2813" w:rsidRPr="00B252D6" w:rsidRDefault="006B2813" w:rsidP="00B252D6">
            <w:pPr>
              <w:textAlignment w:val="baseline"/>
              <w:rPr>
                <w:i/>
                <w:sz w:val="20"/>
                <w:szCs w:val="20"/>
              </w:rPr>
            </w:pPr>
            <w:r w:rsidRPr="00B252D6">
              <w:rPr>
                <w:i/>
                <w:sz w:val="20"/>
                <w:szCs w:val="20"/>
              </w:rPr>
              <w:t>- Изменения главы 25 НК РФ на 2018 г.: инвестиционный налоговый вычет, новый налоговый учет безвозмездно полученных и выявленных при инвентаризации средств, НИОКР, резерва по сомнительным долгам и др.;</w:t>
            </w:r>
          </w:p>
          <w:p w:rsidR="006B2813" w:rsidRPr="00B252D6" w:rsidRDefault="006B2813" w:rsidP="00B252D6">
            <w:pPr>
              <w:textAlignment w:val="baseline"/>
              <w:rPr>
                <w:i/>
                <w:sz w:val="20"/>
                <w:szCs w:val="20"/>
              </w:rPr>
            </w:pPr>
            <w:r w:rsidRPr="00B252D6">
              <w:rPr>
                <w:i/>
                <w:sz w:val="20"/>
                <w:szCs w:val="20"/>
              </w:rPr>
              <w:t>- Изменения главы 25 НК РФ на 2019 г.: отражение в расходах стоимости путевок работников, транспортного налога и платежей по «Платону» и др.;</w:t>
            </w:r>
          </w:p>
          <w:p w:rsidR="006B2813" w:rsidRPr="00B252D6" w:rsidRDefault="006B2813" w:rsidP="00B252D6">
            <w:pPr>
              <w:textAlignment w:val="baseline"/>
              <w:rPr>
                <w:i/>
                <w:sz w:val="20"/>
                <w:szCs w:val="20"/>
              </w:rPr>
            </w:pPr>
            <w:r w:rsidRPr="00B252D6">
              <w:rPr>
                <w:i/>
                <w:sz w:val="20"/>
                <w:szCs w:val="20"/>
              </w:rPr>
              <w:t xml:space="preserve"> - Новые разъяснения специалистов Минфина и ФНС России.</w:t>
            </w:r>
          </w:p>
          <w:p w:rsidR="006B2813" w:rsidRPr="00F62FAB" w:rsidRDefault="006B2813" w:rsidP="00F62FAB">
            <w:pPr>
              <w:textAlignment w:val="baseline"/>
              <w:rPr>
                <w:b/>
              </w:rPr>
            </w:pPr>
            <w:r w:rsidRPr="00F62FAB">
              <w:rPr>
                <w:b/>
              </w:rPr>
              <w:t>Измене</w:t>
            </w:r>
            <w:r>
              <w:rPr>
                <w:b/>
              </w:rPr>
              <w:t>ния в расчете страховых взносов</w:t>
            </w:r>
          </w:p>
          <w:p w:rsidR="006B2813" w:rsidRPr="00F62FAB" w:rsidRDefault="006B2813" w:rsidP="00F62FAB">
            <w:pPr>
              <w:rPr>
                <w:i/>
                <w:sz w:val="20"/>
                <w:szCs w:val="20"/>
              </w:rPr>
            </w:pPr>
            <w:r w:rsidRPr="00791E77">
              <w:t xml:space="preserve">- </w:t>
            </w:r>
            <w:r w:rsidRPr="00F62FAB">
              <w:rPr>
                <w:i/>
                <w:sz w:val="20"/>
                <w:szCs w:val="20"/>
              </w:rPr>
              <w:t>Новая отчетность и изменения по страховым взносам 2018-2019 гг.;</w:t>
            </w:r>
          </w:p>
          <w:p w:rsidR="006B2813" w:rsidRPr="00F62FAB" w:rsidRDefault="006B2813" w:rsidP="00F62FAB">
            <w:pPr>
              <w:rPr>
                <w:i/>
                <w:sz w:val="20"/>
                <w:szCs w:val="20"/>
              </w:rPr>
            </w:pPr>
            <w:r w:rsidRPr="00F62FAB">
              <w:rPr>
                <w:i/>
                <w:sz w:val="20"/>
                <w:szCs w:val="20"/>
              </w:rPr>
              <w:t>- Спорные ситуации отражения в отчетности командировочных расходов, больничных, аренды, материальной выгоды и др. выплат сотрудникам;</w:t>
            </w:r>
          </w:p>
          <w:p w:rsidR="006B2813" w:rsidRPr="00F62FAB" w:rsidRDefault="006B2813" w:rsidP="00F62FAB">
            <w:pPr>
              <w:rPr>
                <w:i/>
                <w:sz w:val="20"/>
                <w:szCs w:val="20"/>
              </w:rPr>
            </w:pPr>
            <w:r w:rsidRPr="00F62FAB">
              <w:rPr>
                <w:i/>
                <w:sz w:val="20"/>
                <w:szCs w:val="20"/>
              </w:rPr>
              <w:t>- Проверки страховых взносов: налоговая инспекция + Пенсионный фонд, ФСС России. Досудебный порядок регулирования споров по результатам налоговых проверок страховых взносов;</w:t>
            </w:r>
          </w:p>
          <w:p w:rsidR="006B2813" w:rsidRPr="00F62FAB" w:rsidRDefault="006B2813" w:rsidP="00F62FAB">
            <w:pPr>
              <w:rPr>
                <w:i/>
                <w:sz w:val="20"/>
                <w:szCs w:val="20"/>
              </w:rPr>
            </w:pPr>
            <w:r w:rsidRPr="00F62FAB">
              <w:rPr>
                <w:i/>
                <w:sz w:val="20"/>
                <w:szCs w:val="20"/>
              </w:rPr>
              <w:t>- Новые ставки по взносам. Увеличение нагрузки по страховым взносам с 2021 г. Предельная величина страховых взносов.</w:t>
            </w:r>
          </w:p>
          <w:p w:rsidR="006B2813" w:rsidRPr="00F62FAB" w:rsidRDefault="006B2813" w:rsidP="00F62FAB">
            <w:pPr>
              <w:textAlignment w:val="baseline"/>
              <w:rPr>
                <w:b/>
              </w:rPr>
            </w:pPr>
            <w:r>
              <w:rPr>
                <w:b/>
              </w:rPr>
              <w:t>Изменения в расчете НДФЛ</w:t>
            </w:r>
          </w:p>
          <w:p w:rsidR="006B2813" w:rsidRPr="00F62FAB" w:rsidRDefault="006B2813" w:rsidP="00F62FAB">
            <w:pPr>
              <w:rPr>
                <w:i/>
                <w:sz w:val="20"/>
                <w:szCs w:val="20"/>
              </w:rPr>
            </w:pPr>
            <w:r w:rsidRPr="00F62FAB">
              <w:rPr>
                <w:i/>
                <w:sz w:val="20"/>
                <w:szCs w:val="20"/>
              </w:rPr>
              <w:t>- НДФЛ 2018-2019: изменения в расчете, НДФЛ с материальной выгоды, новые сроки уплаты и поквартальная отчетность;</w:t>
            </w:r>
            <w:r w:rsidRPr="00F62FAB">
              <w:rPr>
                <w:i/>
                <w:sz w:val="20"/>
                <w:szCs w:val="20"/>
              </w:rPr>
              <w:br/>
              <w:t>- Изменения в порядке заполнения 6-НДФЛ;</w:t>
            </w:r>
          </w:p>
          <w:p w:rsidR="006B2813" w:rsidRPr="000B61BD" w:rsidRDefault="006B2813" w:rsidP="00526793">
            <w:pPr>
              <w:rPr>
                <w:b/>
                <w:bCs/>
                <w:kern w:val="36"/>
              </w:rPr>
            </w:pPr>
            <w:r w:rsidRPr="00F62FAB">
              <w:rPr>
                <w:i/>
                <w:sz w:val="20"/>
                <w:szCs w:val="20"/>
              </w:rPr>
              <w:t>- Спорные вопросы заполнения отчетности по НДФЛ: премии и отпускные. Новые виды вычетов и льгот по НДФЛ.</w:t>
            </w:r>
          </w:p>
        </w:tc>
      </w:tr>
    </w:tbl>
    <w:p w:rsidR="0025403E" w:rsidRPr="00764004" w:rsidRDefault="0025403E" w:rsidP="002540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D6" w:rsidRPr="000B61BD" w:rsidRDefault="00856271"/>
    <w:sectPr w:rsidR="00CD2BD6" w:rsidRPr="000B61BD" w:rsidSect="00D65B94">
      <w:headerReference w:type="even" r:id="rId7"/>
      <w:headerReference w:type="default" r:id="rId8"/>
      <w:pgSz w:w="11906" w:h="16838"/>
      <w:pgMar w:top="964" w:right="851" w:bottom="709" w:left="1701" w:header="4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71" w:rsidRDefault="00856271">
      <w:r>
        <w:separator/>
      </w:r>
    </w:p>
  </w:endnote>
  <w:endnote w:type="continuationSeparator" w:id="0">
    <w:p w:rsidR="00856271" w:rsidRDefault="0085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71" w:rsidRDefault="00856271">
      <w:r>
        <w:separator/>
      </w:r>
    </w:p>
  </w:footnote>
  <w:footnote w:type="continuationSeparator" w:id="0">
    <w:p w:rsidR="00856271" w:rsidRDefault="0085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6B" w:rsidRDefault="002E2586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166B" w:rsidRDefault="008562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6B" w:rsidRDefault="002E2586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422">
      <w:rPr>
        <w:rStyle w:val="a5"/>
        <w:noProof/>
      </w:rPr>
      <w:t>2</w:t>
    </w:r>
    <w:r>
      <w:rPr>
        <w:rStyle w:val="a5"/>
      </w:rPr>
      <w:fldChar w:fldCharType="end"/>
    </w:r>
  </w:p>
  <w:p w:rsidR="00E2166B" w:rsidRDefault="00856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E"/>
    <w:rsid w:val="00023216"/>
    <w:rsid w:val="00033A64"/>
    <w:rsid w:val="00047BEA"/>
    <w:rsid w:val="000626A8"/>
    <w:rsid w:val="00071B53"/>
    <w:rsid w:val="00076A95"/>
    <w:rsid w:val="000835C2"/>
    <w:rsid w:val="000A3A0F"/>
    <w:rsid w:val="000B61BD"/>
    <w:rsid w:val="000C6D81"/>
    <w:rsid w:val="000E7BAE"/>
    <w:rsid w:val="000F0D0D"/>
    <w:rsid w:val="000F6E96"/>
    <w:rsid w:val="00103359"/>
    <w:rsid w:val="00122159"/>
    <w:rsid w:val="00126873"/>
    <w:rsid w:val="001318E8"/>
    <w:rsid w:val="00134EB8"/>
    <w:rsid w:val="001464E3"/>
    <w:rsid w:val="00161E8D"/>
    <w:rsid w:val="00180850"/>
    <w:rsid w:val="00182B15"/>
    <w:rsid w:val="00185070"/>
    <w:rsid w:val="0018555A"/>
    <w:rsid w:val="00194731"/>
    <w:rsid w:val="001A5898"/>
    <w:rsid w:val="001F1BE8"/>
    <w:rsid w:val="00204EA8"/>
    <w:rsid w:val="002062B4"/>
    <w:rsid w:val="00215757"/>
    <w:rsid w:val="002157CD"/>
    <w:rsid w:val="0022593C"/>
    <w:rsid w:val="002305F4"/>
    <w:rsid w:val="00250B84"/>
    <w:rsid w:val="00251B00"/>
    <w:rsid w:val="0025358A"/>
    <w:rsid w:val="0025403E"/>
    <w:rsid w:val="002661A3"/>
    <w:rsid w:val="0028016C"/>
    <w:rsid w:val="0028050B"/>
    <w:rsid w:val="00292DDA"/>
    <w:rsid w:val="002A548E"/>
    <w:rsid w:val="002D5A56"/>
    <w:rsid w:val="002E025F"/>
    <w:rsid w:val="002E2586"/>
    <w:rsid w:val="003137DF"/>
    <w:rsid w:val="003151F0"/>
    <w:rsid w:val="00326D75"/>
    <w:rsid w:val="00344E8D"/>
    <w:rsid w:val="003700B8"/>
    <w:rsid w:val="00394471"/>
    <w:rsid w:val="0039595B"/>
    <w:rsid w:val="00396D97"/>
    <w:rsid w:val="003B4771"/>
    <w:rsid w:val="003E1BC0"/>
    <w:rsid w:val="003F5A3E"/>
    <w:rsid w:val="0040753F"/>
    <w:rsid w:val="004100E9"/>
    <w:rsid w:val="00422F4E"/>
    <w:rsid w:val="00424B88"/>
    <w:rsid w:val="00454F18"/>
    <w:rsid w:val="00462C36"/>
    <w:rsid w:val="00465F5E"/>
    <w:rsid w:val="004675DB"/>
    <w:rsid w:val="004736E4"/>
    <w:rsid w:val="00483319"/>
    <w:rsid w:val="00483757"/>
    <w:rsid w:val="004D1207"/>
    <w:rsid w:val="004E5611"/>
    <w:rsid w:val="004F0DAA"/>
    <w:rsid w:val="00505CD1"/>
    <w:rsid w:val="00526793"/>
    <w:rsid w:val="00537EC4"/>
    <w:rsid w:val="0056508F"/>
    <w:rsid w:val="005855E2"/>
    <w:rsid w:val="005A0030"/>
    <w:rsid w:val="005A1DC9"/>
    <w:rsid w:val="005A3B93"/>
    <w:rsid w:val="005C14C5"/>
    <w:rsid w:val="005C1B6D"/>
    <w:rsid w:val="005C5629"/>
    <w:rsid w:val="005D183E"/>
    <w:rsid w:val="005F43E7"/>
    <w:rsid w:val="00606267"/>
    <w:rsid w:val="00615B4C"/>
    <w:rsid w:val="0062129F"/>
    <w:rsid w:val="006307D9"/>
    <w:rsid w:val="00632A05"/>
    <w:rsid w:val="00660A1E"/>
    <w:rsid w:val="00663A9B"/>
    <w:rsid w:val="00690C90"/>
    <w:rsid w:val="00690D7E"/>
    <w:rsid w:val="006A4BA4"/>
    <w:rsid w:val="006A5D5F"/>
    <w:rsid w:val="006B2813"/>
    <w:rsid w:val="006E3A2C"/>
    <w:rsid w:val="00731425"/>
    <w:rsid w:val="00740408"/>
    <w:rsid w:val="00747C41"/>
    <w:rsid w:val="00751A8C"/>
    <w:rsid w:val="00764004"/>
    <w:rsid w:val="00785F3A"/>
    <w:rsid w:val="0078661D"/>
    <w:rsid w:val="00791192"/>
    <w:rsid w:val="00794AEB"/>
    <w:rsid w:val="007A3336"/>
    <w:rsid w:val="007B03BA"/>
    <w:rsid w:val="007D28E3"/>
    <w:rsid w:val="007E4089"/>
    <w:rsid w:val="007E7CD1"/>
    <w:rsid w:val="00803B8A"/>
    <w:rsid w:val="00826A65"/>
    <w:rsid w:val="0084138F"/>
    <w:rsid w:val="008433DE"/>
    <w:rsid w:val="008545F2"/>
    <w:rsid w:val="00856271"/>
    <w:rsid w:val="00860FA9"/>
    <w:rsid w:val="008624EB"/>
    <w:rsid w:val="00862E17"/>
    <w:rsid w:val="00875BB4"/>
    <w:rsid w:val="008A2727"/>
    <w:rsid w:val="008A3A54"/>
    <w:rsid w:val="008A4E0A"/>
    <w:rsid w:val="008B2EE6"/>
    <w:rsid w:val="008D477D"/>
    <w:rsid w:val="008D7D94"/>
    <w:rsid w:val="008F000E"/>
    <w:rsid w:val="0091009C"/>
    <w:rsid w:val="009104D7"/>
    <w:rsid w:val="00914183"/>
    <w:rsid w:val="0091634E"/>
    <w:rsid w:val="009276E0"/>
    <w:rsid w:val="00940714"/>
    <w:rsid w:val="009623EE"/>
    <w:rsid w:val="009739EF"/>
    <w:rsid w:val="00980E65"/>
    <w:rsid w:val="00986A0D"/>
    <w:rsid w:val="009A2995"/>
    <w:rsid w:val="009A4B2F"/>
    <w:rsid w:val="009C0B7C"/>
    <w:rsid w:val="009C2621"/>
    <w:rsid w:val="009C76EA"/>
    <w:rsid w:val="009E5139"/>
    <w:rsid w:val="009E6A01"/>
    <w:rsid w:val="009F3BA1"/>
    <w:rsid w:val="00A0259D"/>
    <w:rsid w:val="00A05AE5"/>
    <w:rsid w:val="00A162C1"/>
    <w:rsid w:val="00A22A5D"/>
    <w:rsid w:val="00A410B3"/>
    <w:rsid w:val="00A61BD7"/>
    <w:rsid w:val="00A6423B"/>
    <w:rsid w:val="00A718F8"/>
    <w:rsid w:val="00A82D3A"/>
    <w:rsid w:val="00A92F61"/>
    <w:rsid w:val="00AB346B"/>
    <w:rsid w:val="00AC1D34"/>
    <w:rsid w:val="00AF0202"/>
    <w:rsid w:val="00B14C9D"/>
    <w:rsid w:val="00B252D6"/>
    <w:rsid w:val="00B63D5F"/>
    <w:rsid w:val="00B72941"/>
    <w:rsid w:val="00BA34DC"/>
    <w:rsid w:val="00BB193C"/>
    <w:rsid w:val="00C21F50"/>
    <w:rsid w:val="00C26BF6"/>
    <w:rsid w:val="00C32245"/>
    <w:rsid w:val="00C32BF6"/>
    <w:rsid w:val="00C45DA1"/>
    <w:rsid w:val="00C62C03"/>
    <w:rsid w:val="00CA125A"/>
    <w:rsid w:val="00CA3A08"/>
    <w:rsid w:val="00CB44CC"/>
    <w:rsid w:val="00CB70F1"/>
    <w:rsid w:val="00D073BF"/>
    <w:rsid w:val="00D27A7A"/>
    <w:rsid w:val="00D573AD"/>
    <w:rsid w:val="00D65B94"/>
    <w:rsid w:val="00D9296B"/>
    <w:rsid w:val="00DA1915"/>
    <w:rsid w:val="00DA1EC6"/>
    <w:rsid w:val="00DA52BA"/>
    <w:rsid w:val="00DB5422"/>
    <w:rsid w:val="00DC57A0"/>
    <w:rsid w:val="00DC799C"/>
    <w:rsid w:val="00DE00FE"/>
    <w:rsid w:val="00DE3C14"/>
    <w:rsid w:val="00E138BB"/>
    <w:rsid w:val="00E355A5"/>
    <w:rsid w:val="00E61D05"/>
    <w:rsid w:val="00E70B4F"/>
    <w:rsid w:val="00EA4D5B"/>
    <w:rsid w:val="00EE1F27"/>
    <w:rsid w:val="00EE69B6"/>
    <w:rsid w:val="00EF3FF6"/>
    <w:rsid w:val="00F04592"/>
    <w:rsid w:val="00F10C5C"/>
    <w:rsid w:val="00F33851"/>
    <w:rsid w:val="00F454BD"/>
    <w:rsid w:val="00F550D2"/>
    <w:rsid w:val="00F62FAB"/>
    <w:rsid w:val="00F657F3"/>
    <w:rsid w:val="00F73F2B"/>
    <w:rsid w:val="00F818C2"/>
    <w:rsid w:val="00F91EC4"/>
    <w:rsid w:val="00FA018B"/>
    <w:rsid w:val="00FA6BF1"/>
    <w:rsid w:val="00FA6C12"/>
    <w:rsid w:val="00FD1650"/>
    <w:rsid w:val="00FD219C"/>
    <w:rsid w:val="00FD5816"/>
    <w:rsid w:val="00FE491B"/>
    <w:rsid w:val="00FE7B92"/>
    <w:rsid w:val="00FF288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03E"/>
  </w:style>
  <w:style w:type="paragraph" w:styleId="a6">
    <w:name w:val="No Spacing"/>
    <w:uiPriority w:val="1"/>
    <w:qFormat/>
    <w:rsid w:val="0025403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A3A0F"/>
    <w:rPr>
      <w:color w:val="0000FF"/>
      <w:u w:val="single"/>
    </w:rPr>
  </w:style>
  <w:style w:type="character" w:customStyle="1" w:styleId="extended-textfull">
    <w:name w:val="extended-text__full"/>
    <w:basedOn w:val="a0"/>
    <w:rsid w:val="005C14C5"/>
  </w:style>
  <w:style w:type="paragraph" w:styleId="a8">
    <w:name w:val="Normal (Web)"/>
    <w:basedOn w:val="a"/>
    <w:uiPriority w:val="99"/>
    <w:unhideWhenUsed/>
    <w:rsid w:val="002259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59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5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D65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5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03E"/>
  </w:style>
  <w:style w:type="paragraph" w:styleId="a6">
    <w:name w:val="No Spacing"/>
    <w:uiPriority w:val="1"/>
    <w:qFormat/>
    <w:rsid w:val="0025403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A3A0F"/>
    <w:rPr>
      <w:color w:val="0000FF"/>
      <w:u w:val="single"/>
    </w:rPr>
  </w:style>
  <w:style w:type="character" w:customStyle="1" w:styleId="extended-textfull">
    <w:name w:val="extended-text__full"/>
    <w:basedOn w:val="a0"/>
    <w:rsid w:val="005C14C5"/>
  </w:style>
  <w:style w:type="paragraph" w:styleId="a8">
    <w:name w:val="Normal (Web)"/>
    <w:basedOn w:val="a"/>
    <w:uiPriority w:val="99"/>
    <w:unhideWhenUsed/>
    <w:rsid w:val="002259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59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5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D65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5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Бизнес-факультет</cp:lastModifiedBy>
  <cp:revision>39</cp:revision>
  <cp:lastPrinted>2018-09-26T13:36:00Z</cp:lastPrinted>
  <dcterms:created xsi:type="dcterms:W3CDTF">2018-10-04T07:04:00Z</dcterms:created>
  <dcterms:modified xsi:type="dcterms:W3CDTF">2018-10-16T10:18:00Z</dcterms:modified>
</cp:coreProperties>
</file>